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Draft project outline</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Networking and exchange of good practise to facilitate the implementation of fundamental rights in the EU</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40"/>
          <w:shd w:fill="auto" w:val="clear"/>
        </w:rPr>
        <w:t xml:space="preserve">S</w:t>
      </w:r>
      <w:r>
        <w:rPr>
          <w:rFonts w:ascii="Times New Roman" w:hAnsi="Times New Roman" w:cs="Times New Roman" w:eastAsia="Times New Roman"/>
          <w:b/>
          <w:color w:val="auto"/>
          <w:spacing w:val="0"/>
          <w:position w:val="0"/>
          <w:sz w:val="28"/>
          <w:shd w:fill="auto" w:val="clear"/>
        </w:rPr>
        <w:t xml:space="preserve">trategic </w:t>
      </w:r>
      <w:r>
        <w:rPr>
          <w:rFonts w:ascii="Times New Roman" w:hAnsi="Times New Roman" w:cs="Times New Roman" w:eastAsia="Times New Roman"/>
          <w:b/>
          <w:color w:val="auto"/>
          <w:spacing w:val="0"/>
          <w:position w:val="0"/>
          <w:sz w:val="40"/>
          <w:shd w:fill="auto" w:val="clear"/>
        </w:rPr>
        <w:t xml:space="preserve">L</w:t>
      </w:r>
      <w:r>
        <w:rPr>
          <w:rFonts w:ascii="Times New Roman" w:hAnsi="Times New Roman" w:cs="Times New Roman" w:eastAsia="Times New Roman"/>
          <w:b/>
          <w:color w:val="auto"/>
          <w:spacing w:val="0"/>
          <w:position w:val="0"/>
          <w:sz w:val="28"/>
          <w:shd w:fill="auto" w:val="clear"/>
        </w:rPr>
        <w:t xml:space="preserve">itigation </w:t>
      </w:r>
      <w:r>
        <w:rPr>
          <w:rFonts w:ascii="Times New Roman" w:hAnsi="Times New Roman" w:cs="Times New Roman" w:eastAsia="Times New Roman"/>
          <w:b/>
          <w:color w:val="auto"/>
          <w:spacing w:val="0"/>
          <w:position w:val="0"/>
          <w:sz w:val="40"/>
          <w:shd w:fill="auto" w:val="clear"/>
        </w:rPr>
        <w:t xml:space="preserve">Net</w:t>
      </w:r>
      <w:r>
        <w:rPr>
          <w:rFonts w:ascii="Times New Roman" w:hAnsi="Times New Roman" w:cs="Times New Roman" w:eastAsia="Times New Roman"/>
          <w:b/>
          <w:color w:val="auto"/>
          <w:spacing w:val="0"/>
          <w:position w:val="0"/>
          <w:sz w:val="28"/>
          <w:shd w:fill="auto" w:val="clear"/>
        </w:rPr>
        <w:t xml:space="preserve">work (SL-Net)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two-year project will be submitted to the EC under the call REC-RDIS-DISC-AG-2018 in October 2018. Lead partner is possibly the Klagsverband in Austria. Partners are likely to be the Helsinki Committee in Bulgaria, the Human Rights Centre in Estonia and the Bureau for the Implementation of Equal Treatment (BUG) in Germany.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envisaged project aims to undertake the following activities:</w:t>
      </w:r>
    </w:p>
    <w:p>
      <w:pPr>
        <w:numPr>
          <w:ilvl w:val="0"/>
          <w:numId w:val="3"/>
        </w:numPr>
        <w:spacing w:before="0" w:after="200" w:line="276"/>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International activities: </w:t>
      </w:r>
    </w:p>
    <w:p>
      <w:pPr>
        <w:spacing w:before="0" w:after="0" w:line="276"/>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Networking and exchange of good practice amongst strategic litigation NGOs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Four to five EU-wide networking meetings of NGOs who support cases of discrimination in court - with a focus on strategic litigation - will be organised. The meetings aim to encourage networking and exchange of good practice as well as to offer trainings session on horizontal topics such as:  </w:t>
      </w:r>
    </w:p>
    <w:p>
      <w:pPr>
        <w:numPr>
          <w:ilvl w:val="0"/>
          <w:numId w:val="6"/>
        </w:numPr>
        <w:spacing w:before="0" w:after="200" w:line="27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institutional/structural discrimination</w:t>
      </w:r>
    </w:p>
    <w:p>
      <w:pPr>
        <w:numPr>
          <w:ilvl w:val="0"/>
          <w:numId w:val="6"/>
        </w:numPr>
        <w:spacing w:before="0" w:after="200" w:line="27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statistical evidence on courts</w:t>
      </w:r>
    </w:p>
    <w:p>
      <w:pPr>
        <w:numPr>
          <w:ilvl w:val="0"/>
          <w:numId w:val="6"/>
        </w:numPr>
        <w:spacing w:before="0" w:after="200" w:line="27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making use of amicus curiae </w:t>
      </w:r>
    </w:p>
    <w:p>
      <w:pPr>
        <w:numPr>
          <w:ilvl w:val="0"/>
          <w:numId w:val="6"/>
        </w:numPr>
        <w:spacing w:before="0" w:after="200" w:line="27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third party interventions of NGOs </w:t>
      </w:r>
    </w:p>
    <w:p>
      <w:pPr>
        <w:numPr>
          <w:ilvl w:val="0"/>
          <w:numId w:val="6"/>
        </w:numPr>
        <w:spacing w:before="0" w:after="200" w:line="27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to use EU fundamental rights standards </w:t>
      </w:r>
    </w:p>
    <w:p>
      <w:pPr>
        <w:numPr>
          <w:ilvl w:val="0"/>
          <w:numId w:val="6"/>
        </w:numPr>
        <w:spacing w:before="0" w:after="200" w:line="27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using the Fundamental Rights Charter in court </w:t>
      </w:r>
    </w:p>
    <w:p>
      <w:pPr>
        <w:numPr>
          <w:ilvl w:val="0"/>
          <w:numId w:val="6"/>
        </w:numPr>
        <w:spacing w:before="0" w:after="200" w:line="27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international complaints mechanisms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8"/>
        </w:numPr>
        <w:spacing w:before="0" w:after="200" w:line="276"/>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National activities: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Networking and exchange of good practice amongst national NGOs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w:t>
      </w:r>
      <w:r>
        <w:rPr>
          <w:rFonts w:ascii="Times New Roman" w:hAnsi="Times New Roman" w:cs="Times New Roman" w:eastAsia="Times New Roman"/>
          <w:color w:val="auto"/>
          <w:spacing w:val="0"/>
          <w:position w:val="0"/>
          <w:sz w:val="24"/>
          <w:shd w:fill="FFFF00" w:val="clear"/>
        </w:rPr>
        <w:t xml:space="preserve">???</w:t>
      </w:r>
      <w:r>
        <w:rPr>
          <w:rFonts w:ascii="Times New Roman" w:hAnsi="Times New Roman" w:cs="Times New Roman" w:eastAsia="Times New Roman"/>
          <w:color w:val="auto"/>
          <w:spacing w:val="0"/>
          <w:position w:val="0"/>
          <w:sz w:val="24"/>
          <w:shd w:fill="auto" w:val="clear"/>
        </w:rPr>
        <w:t xml:space="preserve"> countries national networking activities are foreseen to bring together legal professionals and NGOs working on equal treatment and non-discrimination. Additionally, mutual training on (strategically) litigating non-discrimination cases and how EU and international standards (such as the Fundamental Rights Charter) can be used for legal argumentation will be carried out. Three to four sessions at national level are envisaged.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Project related costs will need to be co-finance by 20%. International meetings should cover travel, accommodation and catering for participants. However, they will be asked to provide a fee per meeting to achieve ‘own resources’. For national activities national partners will contribute 20% own resourced for the respective amount of the national budget.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6">
    <w:abstractNumId w:val="6"/>
  </w:num>
  <w:num w:numId="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