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14" w:rsidRPr="00BE6301" w:rsidRDefault="008B4E14" w:rsidP="008B4E14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color w:val="3D3C3B"/>
          <w:sz w:val="32"/>
          <w:szCs w:val="32"/>
          <w:lang w:val="en-US"/>
        </w:rPr>
      </w:pPr>
      <w:r w:rsidRPr="00BE6301">
        <w:rPr>
          <w:rFonts w:cs="MyriadPro-Regular"/>
          <w:b/>
          <w:color w:val="3D3C3B"/>
          <w:sz w:val="32"/>
          <w:szCs w:val="32"/>
          <w:lang w:val="en-US"/>
        </w:rPr>
        <w:t>Finances</w:t>
      </w:r>
    </w:p>
    <w:p w:rsidR="00841B03" w:rsidRDefault="00841B03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A46929" w:rsidRPr="00A46929" w:rsidRDefault="00DD40D4" w:rsidP="00A46929">
      <w:pPr>
        <w:jc w:val="both"/>
        <w:rPr>
          <w:rFonts w:eastAsia="Times New Roman" w:cs="Arial"/>
          <w:b/>
          <w:bCs/>
          <w:sz w:val="24"/>
          <w:szCs w:val="24"/>
          <w:lang w:eastAsia="fr-BE"/>
        </w:rPr>
      </w:pPr>
      <w:r w:rsidRPr="00841B03">
        <w:rPr>
          <w:rFonts w:cs="MyriadPro-Regular"/>
          <w:b/>
          <w:color w:val="3D3C3B"/>
          <w:sz w:val="24"/>
          <w:szCs w:val="24"/>
          <w:lang w:val="en-US"/>
        </w:rPr>
        <w:t xml:space="preserve">2015 </w:t>
      </w:r>
      <w:r w:rsidR="00631B1C" w:rsidRPr="00A46929">
        <w:rPr>
          <w:rFonts w:cs="MyriadPro-Regular"/>
          <w:b/>
          <w:color w:val="3D3C3B"/>
          <w:sz w:val="24"/>
          <w:szCs w:val="24"/>
          <w:lang w:val="en-US"/>
        </w:rPr>
        <w:t>i</w:t>
      </w:r>
      <w:r w:rsidRPr="00A46929">
        <w:rPr>
          <w:rFonts w:cs="MyriadPro-Regular"/>
          <w:b/>
          <w:color w:val="3D3C3B"/>
          <w:sz w:val="24"/>
          <w:szCs w:val="24"/>
          <w:lang w:val="en-US"/>
        </w:rPr>
        <w:t>ncome</w:t>
      </w:r>
      <w:r w:rsidR="00841B03" w:rsidRPr="00A46929">
        <w:rPr>
          <w:rFonts w:cs="MyriadPro-Regular"/>
          <w:b/>
          <w:color w:val="3D3C3B"/>
          <w:sz w:val="24"/>
          <w:szCs w:val="24"/>
          <w:lang w:val="en-US"/>
        </w:rPr>
        <w:t xml:space="preserve">: </w:t>
      </w:r>
      <w:r w:rsidR="00A46929" w:rsidRPr="00A46929">
        <w:rPr>
          <w:rFonts w:eastAsia="Times New Roman" w:cs="Arial"/>
          <w:b/>
          <w:bCs/>
          <w:sz w:val="24"/>
          <w:szCs w:val="24"/>
          <w:lang w:eastAsia="fr-BE"/>
        </w:rPr>
        <w:t>1,003,976 €</w:t>
      </w:r>
    </w:p>
    <w:p w:rsidR="00DD40D4" w:rsidRDefault="00841B03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  <w:r>
        <w:rPr>
          <w:noProof/>
          <w:lang w:eastAsia="fr-BE"/>
        </w:rPr>
        <w:drawing>
          <wp:inline distT="0" distB="0" distL="0" distR="0" wp14:anchorId="34103C49" wp14:editId="1A5629A6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40D4" w:rsidRDefault="00DD40D4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tbl>
      <w:tblPr>
        <w:tblW w:w="4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960"/>
      </w:tblGrid>
      <w:tr w:rsidR="00631B1C" w:rsidRPr="00631B1C" w:rsidTr="00631B1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  <w:p w:rsidR="00631B1C" w:rsidRPr="00631B1C" w:rsidRDefault="00631B1C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1B1C">
              <w:rPr>
                <w:rFonts w:ascii="Calibri" w:eastAsia="Times New Roman" w:hAnsi="Calibri" w:cs="Times New Roman"/>
                <w:color w:val="000000"/>
                <w:lang w:eastAsia="fr-BE"/>
              </w:rPr>
              <w:t>E</w:t>
            </w:r>
            <w:r w:rsidR="00BC1BFF">
              <w:rPr>
                <w:rFonts w:ascii="Calibri" w:eastAsia="Times New Roman" w:hAnsi="Calibri" w:cs="Times New Roman"/>
                <w:color w:val="000000"/>
                <w:lang w:eastAsia="fr-BE"/>
              </w:rPr>
              <w:t>C DG Justice                 </w:t>
            </w:r>
            <w:r w:rsidR="00BC1BFF" w:rsidRPr="00631B1C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  <w:r w:rsidR="00BC1BFF">
              <w:rPr>
                <w:rFonts w:ascii="Calibri" w:eastAsia="Times New Roman" w:hAnsi="Calibri" w:cs="Times New Roman"/>
                <w:color w:val="000000"/>
                <w:lang w:eastAsia="fr-BE"/>
              </w:rPr>
              <w:t>8.98</w:t>
            </w:r>
            <w:r w:rsidR="00BC1BFF" w:rsidRPr="00631B1C">
              <w:rPr>
                <w:rFonts w:ascii="Calibri" w:eastAsia="Times New Roman" w:hAnsi="Calibri" w:cs="Times New Roman"/>
                <w:color w:val="000000"/>
                <w:lang w:eastAsia="fr-BE"/>
              </w:rPr>
              <w:t>%</w:t>
            </w:r>
            <w:r w:rsidRPr="00631B1C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  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B1C" w:rsidRPr="00631B1C" w:rsidRDefault="00631B1C" w:rsidP="00BC1B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631B1C" w:rsidRPr="00BC1BFF" w:rsidTr="00631B1C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1BFF" w:rsidRPr="00BC1BFF" w:rsidRDefault="00BC1BFF" w:rsidP="00631B1C"/>
          <w:p w:rsidR="00631B1C" w:rsidRDefault="00631B1C" w:rsidP="00631B1C">
            <w:pPr>
              <w:rPr>
                <w:lang w:val="en-US"/>
              </w:rPr>
            </w:pPr>
            <w:r>
              <w:rPr>
                <w:lang w:val="en-US"/>
              </w:rPr>
              <w:t xml:space="preserve">OSIFE                               16.17 %            </w:t>
            </w:r>
          </w:p>
          <w:p w:rsidR="00631B1C" w:rsidRDefault="00631B1C" w:rsidP="00631B1C">
            <w:pPr>
              <w:rPr>
                <w:lang w:val="en-US"/>
              </w:rPr>
            </w:pPr>
            <w:r>
              <w:rPr>
                <w:lang w:val="en-US"/>
              </w:rPr>
              <w:t xml:space="preserve">JRCT                                    2.49 %              </w:t>
            </w:r>
          </w:p>
          <w:p w:rsidR="00631B1C" w:rsidRDefault="00631B1C" w:rsidP="00631B1C">
            <w:pPr>
              <w:rPr>
                <w:lang w:val="en-US"/>
              </w:rPr>
            </w:pPr>
            <w:r>
              <w:rPr>
                <w:lang w:val="en-US"/>
              </w:rPr>
              <w:t>OSF                                      0.49 %</w:t>
            </w:r>
          </w:p>
          <w:p w:rsidR="00631B1C" w:rsidRDefault="00631B1C" w:rsidP="00631B1C">
            <w:pPr>
              <w:rPr>
                <w:lang w:val="en-US"/>
              </w:rPr>
            </w:pPr>
            <w:r>
              <w:rPr>
                <w:lang w:val="en-US"/>
              </w:rPr>
              <w:t>Donations                          0.63 %</w:t>
            </w:r>
          </w:p>
          <w:p w:rsidR="00631B1C" w:rsidRDefault="00631B1C" w:rsidP="00631B1C">
            <w:pPr>
              <w:rPr>
                <w:lang w:val="en-US"/>
              </w:rPr>
            </w:pPr>
            <w:r>
              <w:rPr>
                <w:lang w:val="en-US"/>
              </w:rPr>
              <w:t>Membership fees             0.99 %</w:t>
            </w:r>
          </w:p>
          <w:p w:rsidR="00631B1C" w:rsidRDefault="00631B1C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  <w:p w:rsidR="00BC1BFF" w:rsidRPr="00631B1C" w:rsidRDefault="00BC1BFF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val="en-US" w:eastAsia="fr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1C" w:rsidRPr="00631B1C" w:rsidRDefault="00631B1C" w:rsidP="00631B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BE"/>
              </w:rPr>
            </w:pPr>
          </w:p>
        </w:tc>
      </w:tr>
    </w:tbl>
    <w:p w:rsidR="00BC1BFF" w:rsidRDefault="00BC1BFF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3D3C3B"/>
          <w:sz w:val="24"/>
          <w:szCs w:val="24"/>
          <w:lang w:val="en-US"/>
        </w:rPr>
      </w:pPr>
    </w:p>
    <w:p w:rsidR="00BC1BFF" w:rsidRDefault="00BC1BFF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3D3C3B"/>
          <w:sz w:val="24"/>
          <w:szCs w:val="24"/>
          <w:lang w:val="en-US"/>
        </w:rPr>
      </w:pPr>
    </w:p>
    <w:p w:rsidR="00BC1BFF" w:rsidRDefault="00BC1BFF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3D3C3B"/>
          <w:sz w:val="24"/>
          <w:szCs w:val="24"/>
          <w:lang w:val="en-US"/>
        </w:rPr>
      </w:pPr>
    </w:p>
    <w:p w:rsidR="00DD40D4" w:rsidRPr="00841B03" w:rsidRDefault="00631B1C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b/>
          <w:color w:val="3D3C3B"/>
          <w:sz w:val="24"/>
          <w:szCs w:val="24"/>
          <w:lang w:val="en-US"/>
        </w:rPr>
      </w:pPr>
      <w:r w:rsidRPr="00841B03">
        <w:rPr>
          <w:rFonts w:cs="MyriadPro-Regular"/>
          <w:b/>
          <w:color w:val="3D3C3B"/>
          <w:sz w:val="24"/>
          <w:szCs w:val="24"/>
          <w:lang w:val="en-US"/>
        </w:rPr>
        <w:lastRenderedPageBreak/>
        <w:t>2015 e</w:t>
      </w:r>
      <w:r w:rsidR="00DD40D4" w:rsidRPr="00841B03">
        <w:rPr>
          <w:rFonts w:cs="MyriadPro-Regular"/>
          <w:b/>
          <w:color w:val="3D3C3B"/>
          <w:sz w:val="24"/>
          <w:szCs w:val="24"/>
          <w:lang w:val="en-US"/>
        </w:rPr>
        <w:t>xpenditure</w:t>
      </w:r>
    </w:p>
    <w:p w:rsidR="00DD40D4" w:rsidRPr="00BE6301" w:rsidRDefault="00841B03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  <w:r>
        <w:rPr>
          <w:noProof/>
          <w:lang w:eastAsia="fr-BE"/>
        </w:rPr>
        <w:drawing>
          <wp:inline distT="0" distB="0" distL="0" distR="0" wp14:anchorId="5CD4333D" wp14:editId="53E94A28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31B1C" w:rsidRDefault="00631B1C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tbl>
      <w:tblPr>
        <w:tblW w:w="45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9"/>
        <w:gridCol w:w="960"/>
      </w:tblGrid>
      <w:tr w:rsidR="00631B1C" w:rsidRPr="00631B1C" w:rsidTr="00352A43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1C" w:rsidRPr="00631B1C" w:rsidRDefault="00631B1C" w:rsidP="00352A43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fr-BE"/>
              </w:rPr>
            </w:pPr>
            <w:r w:rsidRPr="00631B1C">
              <w:rPr>
                <w:rFonts w:ascii="Calibri" w:eastAsia="Times New Roman" w:hAnsi="Calibri" w:cs="Times New Roman"/>
                <w:color w:val="1F497D"/>
                <w:lang w:eastAsia="fr-BE"/>
              </w:rPr>
              <w:t xml:space="preserve">Staff                                                              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1C" w:rsidRPr="00631B1C" w:rsidRDefault="00631B1C" w:rsidP="0035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1B1C">
              <w:rPr>
                <w:rFonts w:ascii="Calibri" w:eastAsia="Times New Roman" w:hAnsi="Calibri" w:cs="Times New Roman"/>
                <w:color w:val="000000"/>
                <w:lang w:eastAsia="fr-BE"/>
              </w:rPr>
              <w:t>59,82%</w:t>
            </w:r>
          </w:p>
        </w:tc>
      </w:tr>
      <w:tr w:rsidR="00631B1C" w:rsidRPr="00631B1C" w:rsidTr="00352A43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1C" w:rsidRPr="00631B1C" w:rsidRDefault="00631B1C" w:rsidP="00352A43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lang w:eastAsia="fr-BE"/>
              </w:rPr>
            </w:pPr>
            <w:proofErr w:type="spellStart"/>
            <w:r w:rsidRPr="00631B1C">
              <w:rPr>
                <w:rFonts w:ascii="Calibri" w:eastAsia="Times New Roman" w:hAnsi="Calibri" w:cs="Times New Roman"/>
                <w:color w:val="1F497D"/>
                <w:lang w:eastAsia="fr-BE"/>
              </w:rPr>
              <w:t>Travel</w:t>
            </w:r>
            <w:proofErr w:type="spellEnd"/>
            <w:r w:rsidRPr="00631B1C">
              <w:rPr>
                <w:rFonts w:ascii="Calibri" w:eastAsia="Times New Roman" w:hAnsi="Calibri" w:cs="Times New Roman"/>
                <w:color w:val="1F497D"/>
                <w:lang w:eastAsia="fr-BE"/>
              </w:rPr>
              <w:t>/Services/Administration         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1C" w:rsidRPr="00631B1C" w:rsidRDefault="00631B1C" w:rsidP="0035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1B1C">
              <w:rPr>
                <w:rFonts w:ascii="Calibri" w:eastAsia="Times New Roman" w:hAnsi="Calibri" w:cs="Times New Roman"/>
                <w:color w:val="000000"/>
                <w:lang w:eastAsia="fr-BE"/>
              </w:rPr>
              <w:t>40,18%</w:t>
            </w:r>
          </w:p>
        </w:tc>
      </w:tr>
      <w:tr w:rsidR="00631B1C" w:rsidRPr="00631B1C" w:rsidTr="00352A43">
        <w:trPr>
          <w:trHeight w:val="300"/>
        </w:trPr>
        <w:tc>
          <w:tcPr>
            <w:tcW w:w="3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1C" w:rsidRPr="00631B1C" w:rsidRDefault="00631B1C" w:rsidP="00352A43">
            <w:pPr>
              <w:spacing w:after="0" w:line="240" w:lineRule="auto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val="en-US" w:eastAsia="fr-BE"/>
              </w:rPr>
            </w:pPr>
            <w:r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val="en-US" w:eastAsia="fr-BE"/>
              </w:rPr>
              <w:t xml:space="preserve">2.02 % </w:t>
            </w:r>
            <w:r w:rsidRPr="00631B1C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val="en-US" w:eastAsia="fr-BE"/>
              </w:rPr>
              <w:t>is not covered by 2015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1C" w:rsidRPr="00631B1C" w:rsidRDefault="00631B1C" w:rsidP="0035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631B1C">
              <w:rPr>
                <w:rFonts w:ascii="Calibri" w:eastAsia="Times New Roman" w:hAnsi="Calibri" w:cs="Times New Roman"/>
                <w:color w:val="000000"/>
                <w:lang w:eastAsia="fr-BE"/>
              </w:rPr>
              <w:t>2,02%</w:t>
            </w:r>
          </w:p>
        </w:tc>
      </w:tr>
    </w:tbl>
    <w:p w:rsidR="00631B1C" w:rsidRDefault="00631B1C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8B4E14" w:rsidRPr="00BE6301" w:rsidRDefault="00BE6301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The European Network </w:t>
      </w:r>
      <w:proofErr w:type="gramStart"/>
      <w:r w:rsidRPr="00BE6301">
        <w:rPr>
          <w:rFonts w:cs="MyriadPro-Regular"/>
          <w:color w:val="3D3C3B"/>
          <w:sz w:val="24"/>
          <w:szCs w:val="24"/>
          <w:lang w:val="en-US"/>
        </w:rPr>
        <w:t>Against</w:t>
      </w:r>
      <w:proofErr w:type="gramEnd"/>
      <w:r w:rsidRPr="00BE6301">
        <w:rPr>
          <w:rFonts w:cs="MyriadPro-Regular"/>
          <w:color w:val="3D3C3B"/>
          <w:sz w:val="24"/>
          <w:szCs w:val="24"/>
          <w:lang w:val="en-US"/>
        </w:rPr>
        <w:t xml:space="preserve"> Racism’s annual accounts were audited </w:t>
      </w:r>
      <w:r>
        <w:rPr>
          <w:rFonts w:cs="MyriadPro-Regular"/>
          <w:color w:val="3D3C3B"/>
          <w:sz w:val="24"/>
          <w:szCs w:val="24"/>
          <w:lang w:val="en-US"/>
        </w:rPr>
        <w:t xml:space="preserve">by </w:t>
      </w:r>
      <w:proofErr w:type="spellStart"/>
      <w:r>
        <w:rPr>
          <w:rFonts w:cs="MyriadPro-Regular"/>
          <w:color w:val="3D3C3B"/>
          <w:sz w:val="24"/>
          <w:szCs w:val="24"/>
          <w:lang w:val="en-US"/>
        </w:rPr>
        <w:t>CdP</w:t>
      </w:r>
      <w:proofErr w:type="spellEnd"/>
      <w:r>
        <w:rPr>
          <w:rFonts w:cs="MyriadPro-Regular"/>
          <w:color w:val="3D3C3B"/>
          <w:sz w:val="24"/>
          <w:szCs w:val="24"/>
          <w:lang w:val="en-US"/>
        </w:rPr>
        <w:t xml:space="preserve"> De </w:t>
      </w:r>
      <w:proofErr w:type="spellStart"/>
      <w:r>
        <w:rPr>
          <w:rFonts w:cs="MyriadPro-Regular"/>
          <w:color w:val="3D3C3B"/>
          <w:sz w:val="24"/>
          <w:szCs w:val="24"/>
          <w:lang w:val="en-US"/>
        </w:rPr>
        <w:t>Wulf</w:t>
      </w:r>
      <w:proofErr w:type="spellEnd"/>
      <w:r>
        <w:rPr>
          <w:rFonts w:cs="MyriadPro-Regular"/>
          <w:color w:val="3D3C3B"/>
          <w:sz w:val="24"/>
          <w:szCs w:val="24"/>
          <w:lang w:val="en-US"/>
        </w:rPr>
        <w:t xml:space="preserve"> &amp; C° </w:t>
      </w:r>
      <w:proofErr w:type="spellStart"/>
      <w:r>
        <w:rPr>
          <w:rFonts w:cs="MyriadPro-Regular"/>
          <w:color w:val="3D3C3B"/>
          <w:sz w:val="24"/>
          <w:szCs w:val="24"/>
          <w:lang w:val="en-US"/>
        </w:rPr>
        <w:t>sc</w:t>
      </w:r>
      <w:r w:rsidR="008B4E14" w:rsidRPr="00BE6301">
        <w:rPr>
          <w:rFonts w:cs="MyriadPro-Regular"/>
          <w:color w:val="3D3C3B"/>
          <w:sz w:val="24"/>
          <w:szCs w:val="24"/>
          <w:lang w:val="en-US"/>
        </w:rPr>
        <w:t>prl</w:t>
      </w:r>
      <w:proofErr w:type="spellEnd"/>
      <w:r w:rsidR="008B4E14" w:rsidRPr="00BE6301">
        <w:rPr>
          <w:rFonts w:cs="MyriadPro-Regular"/>
          <w:color w:val="3D3C3B"/>
          <w:sz w:val="24"/>
          <w:szCs w:val="24"/>
          <w:lang w:val="en-US"/>
        </w:rPr>
        <w:t>, registered auditors, for the period January-December 201</w:t>
      </w: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5 in </w:t>
      </w:r>
      <w:r w:rsidR="00841B03">
        <w:rPr>
          <w:rFonts w:cs="MyriadPro-Regular"/>
          <w:color w:val="3D3C3B"/>
          <w:sz w:val="24"/>
          <w:szCs w:val="24"/>
          <w:lang w:val="en-US"/>
        </w:rPr>
        <w:t>March</w:t>
      </w: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 2016. The </w:t>
      </w:r>
      <w:r w:rsidR="008B4E14" w:rsidRPr="00BE6301">
        <w:rPr>
          <w:rFonts w:cs="MyriadPro-Regular"/>
          <w:color w:val="3D3C3B"/>
          <w:sz w:val="24"/>
          <w:szCs w:val="24"/>
          <w:lang w:val="en-US"/>
        </w:rPr>
        <w:t xml:space="preserve">full details </w:t>
      </w:r>
      <w:r w:rsidR="00BC1BFF">
        <w:rPr>
          <w:rFonts w:cs="MyriadPro-Regular"/>
          <w:color w:val="3D3C3B"/>
          <w:sz w:val="24"/>
          <w:szCs w:val="24"/>
          <w:lang w:val="en-US"/>
        </w:rPr>
        <w:t>are available on our web page www-enar-eu.org.</w:t>
      </w:r>
      <w:bookmarkStart w:id="0" w:name="_GoBack"/>
      <w:bookmarkEnd w:id="0"/>
    </w:p>
    <w:p w:rsidR="00DD40D4" w:rsidRPr="00BE6301" w:rsidRDefault="00DD40D4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</w:p>
    <w:p w:rsidR="008B4E14" w:rsidRPr="00BE6301" w:rsidRDefault="008B4E14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3D3C3B"/>
          <w:sz w:val="24"/>
          <w:szCs w:val="24"/>
          <w:lang w:val="en-US"/>
        </w:rPr>
      </w:pPr>
      <w:r w:rsidRPr="00BE6301">
        <w:rPr>
          <w:rFonts w:cs="MyriadPro-Regular"/>
          <w:color w:val="3D3C3B"/>
          <w:sz w:val="24"/>
          <w:szCs w:val="24"/>
          <w:lang w:val="en-US"/>
        </w:rPr>
        <w:t>ENAR thanks the European Commission and the Open Society Foundations for their financial commitment to the continuity</w:t>
      </w:r>
      <w:r w:rsidR="00BE6301" w:rsidRPr="00BE6301">
        <w:rPr>
          <w:rFonts w:cs="MyriadPro-Regular"/>
          <w:color w:val="3D3C3B"/>
          <w:sz w:val="24"/>
          <w:szCs w:val="24"/>
          <w:lang w:val="en-US"/>
        </w:rPr>
        <w:t xml:space="preserve"> </w:t>
      </w:r>
      <w:r w:rsidRPr="00BE6301">
        <w:rPr>
          <w:rFonts w:cs="MyriadPro-Regular"/>
          <w:color w:val="3D3C3B"/>
          <w:sz w:val="24"/>
          <w:szCs w:val="24"/>
          <w:lang w:val="en-US"/>
        </w:rPr>
        <w:t>of the network’s activities. ENAR also expresses its gratitude to the Joseph Rowntree Charitable Trust and various</w:t>
      </w:r>
      <w:r w:rsidR="00BE6301" w:rsidRPr="00BE6301">
        <w:rPr>
          <w:rFonts w:cs="MyriadPro-Regular"/>
          <w:color w:val="3D3C3B"/>
          <w:sz w:val="24"/>
          <w:szCs w:val="24"/>
          <w:lang w:val="en-US"/>
        </w:rPr>
        <w:t xml:space="preserve"> </w:t>
      </w:r>
      <w:r w:rsidRPr="00BE6301">
        <w:rPr>
          <w:rFonts w:cs="MyriadPro-Regular"/>
          <w:color w:val="3D3C3B"/>
          <w:sz w:val="24"/>
          <w:szCs w:val="24"/>
          <w:lang w:val="en-US"/>
        </w:rPr>
        <w:t>donors for their valuable su</w:t>
      </w:r>
      <w:r w:rsidR="00BE6301" w:rsidRPr="00BE6301">
        <w:rPr>
          <w:rFonts w:cs="MyriadPro-Regular"/>
          <w:color w:val="3D3C3B"/>
          <w:sz w:val="24"/>
          <w:szCs w:val="24"/>
          <w:lang w:val="en-US"/>
        </w:rPr>
        <w:t>pport of ENAR activities in 2015</w:t>
      </w:r>
      <w:r w:rsidRPr="00BE6301">
        <w:rPr>
          <w:rFonts w:cs="MyriadPro-Regular"/>
          <w:color w:val="3D3C3B"/>
          <w:sz w:val="24"/>
          <w:szCs w:val="24"/>
          <w:lang w:val="en-US"/>
        </w:rPr>
        <w:t xml:space="preserve">. We also wish to thank </w:t>
      </w:r>
      <w:proofErr w:type="spellStart"/>
      <w:r w:rsidRPr="00BE6301">
        <w:rPr>
          <w:rFonts w:cs="MyriadPro-Regular"/>
          <w:color w:val="3D3C3B"/>
          <w:sz w:val="24"/>
          <w:szCs w:val="24"/>
          <w:lang w:val="en-US"/>
        </w:rPr>
        <w:t>PILnet</w:t>
      </w:r>
      <w:proofErr w:type="spellEnd"/>
      <w:r w:rsidRPr="00BE6301">
        <w:rPr>
          <w:rFonts w:cs="MyriadPro-Regular"/>
          <w:color w:val="3D3C3B"/>
          <w:sz w:val="24"/>
          <w:szCs w:val="24"/>
          <w:lang w:val="en-US"/>
        </w:rPr>
        <w:t>, the Global Network for Public</w:t>
      </w:r>
      <w:r w:rsidR="00BE6301" w:rsidRPr="00BE6301">
        <w:rPr>
          <w:rFonts w:cs="MyriadPro-Regular"/>
          <w:color w:val="3D3C3B"/>
          <w:sz w:val="24"/>
          <w:szCs w:val="24"/>
          <w:lang w:val="en-US"/>
        </w:rPr>
        <w:t xml:space="preserve"> </w:t>
      </w:r>
      <w:r w:rsidRPr="00BE6301">
        <w:rPr>
          <w:rFonts w:cs="MyriadPro-Regular"/>
          <w:color w:val="3D3C3B"/>
          <w:sz w:val="24"/>
          <w:szCs w:val="24"/>
          <w:lang w:val="en-US"/>
        </w:rPr>
        <w:t>Interest Law, for their pro bono work for ENAR during this year.</w:t>
      </w:r>
    </w:p>
    <w:p w:rsidR="008B4E14" w:rsidRPr="00BE6301" w:rsidRDefault="008B4E14" w:rsidP="00BE6301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  <w:lang w:val="en-US"/>
        </w:rPr>
      </w:pPr>
    </w:p>
    <w:sectPr w:rsidR="008B4E14" w:rsidRPr="00BE6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4"/>
    <w:rsid w:val="001555F8"/>
    <w:rsid w:val="002E37B3"/>
    <w:rsid w:val="00542898"/>
    <w:rsid w:val="00631B1C"/>
    <w:rsid w:val="00632A14"/>
    <w:rsid w:val="00841B03"/>
    <w:rsid w:val="008B4E14"/>
    <w:rsid w:val="008C6AEE"/>
    <w:rsid w:val="00A46929"/>
    <w:rsid w:val="00B45D2C"/>
    <w:rsid w:val="00BC1BFF"/>
    <w:rsid w:val="00BE6301"/>
    <w:rsid w:val="00D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8"/>
  </w:style>
  <w:style w:type="paragraph" w:styleId="Heading1">
    <w:name w:val="heading 1"/>
    <w:basedOn w:val="Normal"/>
    <w:next w:val="Normal"/>
    <w:link w:val="Heading1Char"/>
    <w:qFormat/>
    <w:rsid w:val="001555F8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F8"/>
    <w:rPr>
      <w:rFonts w:ascii="Calibri" w:eastAsia="Times New Roman" w:hAnsi="Calibri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1555F8"/>
    <w:rPr>
      <w:b/>
      <w:bCs/>
    </w:rPr>
  </w:style>
  <w:style w:type="paragraph" w:styleId="ListParagraph">
    <w:name w:val="List Paragraph"/>
    <w:basedOn w:val="Normal"/>
    <w:uiPriority w:val="34"/>
    <w:qFormat/>
    <w:rsid w:val="00155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F8"/>
  </w:style>
  <w:style w:type="paragraph" w:styleId="Heading1">
    <w:name w:val="heading 1"/>
    <w:basedOn w:val="Normal"/>
    <w:next w:val="Normal"/>
    <w:link w:val="Heading1Char"/>
    <w:qFormat/>
    <w:rsid w:val="001555F8"/>
    <w:pPr>
      <w:keepNext/>
      <w:spacing w:after="0" w:line="240" w:lineRule="auto"/>
      <w:jc w:val="both"/>
      <w:outlineLvl w:val="0"/>
    </w:pPr>
    <w:rPr>
      <w:rFonts w:ascii="Calibri" w:eastAsia="Times New Roman" w:hAnsi="Calibri" w:cs="Times New Roman"/>
      <w:b/>
      <w:bCs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5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5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55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5F8"/>
    <w:rPr>
      <w:rFonts w:ascii="Calibri" w:eastAsia="Times New Roman" w:hAnsi="Calibri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5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5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1555F8"/>
    <w:rPr>
      <w:b/>
      <w:bCs/>
    </w:rPr>
  </w:style>
  <w:style w:type="paragraph" w:styleId="ListParagraph">
    <w:name w:val="List Paragraph"/>
    <w:basedOn w:val="Normal"/>
    <w:uiPriority w:val="34"/>
    <w:qFormat/>
    <w:rsid w:val="001555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ar-srv1\xfer\5.0%20PRESS%20AND%20COMMUNICATION\5.7%20ENAR%20Annual%20Reports\2015\finances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nar-srv1\xfer\5.0%20PRESS%20AND%20COMMUNICATION\5.7%20ENAR%20Annual%20Reports\2015\finances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cat>
            <c:strRef>
              <c:f>Sheet1!$A$3:$A$8</c:f>
              <c:strCache>
                <c:ptCount val="6"/>
                <c:pt idx="0">
                  <c:v>European Commission DG Justice                           </c:v>
                </c:pt>
                <c:pt idx="1">
                  <c:v>Open Society Initiative for Europe                                         </c:v>
                </c:pt>
                <c:pt idx="2">
                  <c:v>Joseph Rowntree Charitable Trust                                                  </c:v>
                </c:pt>
                <c:pt idx="3">
                  <c:v>Open Society Foundations                           </c:v>
                </c:pt>
                <c:pt idx="4">
                  <c:v>Donations                         </c:v>
                </c:pt>
                <c:pt idx="5">
                  <c:v>Membership fees             </c:v>
                </c:pt>
              </c:strCache>
            </c:strRef>
          </c:cat>
          <c:val>
            <c:numRef>
              <c:f>Sheet1!$B$3:$B$8</c:f>
              <c:numCache>
                <c:formatCode>0.00%</c:formatCode>
                <c:ptCount val="6"/>
                <c:pt idx="0" formatCode="0%">
                  <c:v>0.78979999999999995</c:v>
                </c:pt>
                <c:pt idx="1">
                  <c:v>0.16170000000000001</c:v>
                </c:pt>
                <c:pt idx="2">
                  <c:v>2.4899999999999999E-2</c:v>
                </c:pt>
                <c:pt idx="3">
                  <c:v>4.8999999999999998E-3</c:v>
                </c:pt>
                <c:pt idx="4">
                  <c:v>6.3E-3</c:v>
                </c:pt>
                <c:pt idx="5">
                  <c:v>9.9000000000000008E-3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ser>
          <c:idx val="0"/>
          <c:order val="0"/>
          <c:cat>
            <c:strRef>
              <c:f>Sheet1!$A$11:$A$13</c:f>
              <c:strCache>
                <c:ptCount val="3"/>
                <c:pt idx="0">
                  <c:v>Staff                                                                </c:v>
                </c:pt>
                <c:pt idx="1">
                  <c:v>Travel/Services/Administration          </c:v>
                </c:pt>
                <c:pt idx="2">
                  <c:v>2,02% is not covered by 2015 income</c:v>
                </c:pt>
              </c:strCache>
            </c:strRef>
          </c:cat>
          <c:val>
            <c:numRef>
              <c:f>Sheet1!$B$11:$B$13</c:f>
              <c:numCache>
                <c:formatCode>0.00%</c:formatCode>
                <c:ptCount val="3"/>
                <c:pt idx="0">
                  <c:v>0.59819999999999995</c:v>
                </c:pt>
                <c:pt idx="1">
                  <c:v>0.40179999999999999</c:v>
                </c:pt>
                <c:pt idx="2">
                  <c:v>2.0199999999999999E-2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Siklossy</dc:creator>
  <cp:lastModifiedBy>Myriam De Feyter</cp:lastModifiedBy>
  <cp:revision>3</cp:revision>
  <dcterms:created xsi:type="dcterms:W3CDTF">2016-06-21T12:09:00Z</dcterms:created>
  <dcterms:modified xsi:type="dcterms:W3CDTF">2016-06-21T13:37:00Z</dcterms:modified>
</cp:coreProperties>
</file>