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A1" w:rsidRPr="00C802EF" w:rsidRDefault="005E73A1" w:rsidP="005E73A1">
      <w:pPr>
        <w:pStyle w:val="Header"/>
        <w:tabs>
          <w:tab w:val="left" w:pos="3160"/>
        </w:tabs>
        <w:jc w:val="center"/>
        <w:rPr>
          <w:rFonts w:asciiTheme="minorHAnsi" w:hAnsiTheme="minorHAnsi" w:cs="Calibri"/>
          <w:sz w:val="28"/>
          <w:szCs w:val="28"/>
          <w:lang w:val="en-US"/>
        </w:rPr>
      </w:pPr>
      <w:r>
        <w:rPr>
          <w:rStyle w:val="EmailStyle151"/>
          <w:rFonts w:asciiTheme="minorHAnsi" w:hAnsiTheme="minorHAnsi"/>
          <w:b/>
          <w:color w:val="9BBB59"/>
          <w:sz w:val="28"/>
          <w:szCs w:val="28"/>
        </w:rPr>
        <w:t>7</w:t>
      </w:r>
      <w:r w:rsidRPr="00C802EF">
        <w:rPr>
          <w:rStyle w:val="EmailStyle151"/>
          <w:rFonts w:asciiTheme="minorHAnsi" w:hAnsiTheme="minorHAnsi"/>
          <w:b/>
          <w:color w:val="9BBB59"/>
          <w:sz w:val="28"/>
          <w:szCs w:val="28"/>
          <w:vertAlign w:val="superscript"/>
        </w:rPr>
        <w:t>th</w:t>
      </w:r>
      <w:r w:rsidRPr="00C802EF">
        <w:rPr>
          <w:rStyle w:val="EmailStyle151"/>
          <w:rFonts w:asciiTheme="minorHAnsi" w:hAnsiTheme="minorHAnsi"/>
          <w:b/>
          <w:color w:val="9BBB59"/>
          <w:sz w:val="28"/>
          <w:szCs w:val="28"/>
        </w:rPr>
        <w:t xml:space="preserve"> </w:t>
      </w:r>
      <w:r>
        <w:rPr>
          <w:rStyle w:val="EmailStyle151"/>
          <w:rFonts w:asciiTheme="minorHAnsi" w:hAnsiTheme="minorHAnsi"/>
          <w:b/>
          <w:color w:val="9BBB59"/>
          <w:sz w:val="28"/>
          <w:szCs w:val="28"/>
        </w:rPr>
        <w:t>Board</w:t>
      </w:r>
      <w:r w:rsidRPr="00C802EF">
        <w:rPr>
          <w:rStyle w:val="EmailStyle151"/>
          <w:rFonts w:asciiTheme="minorHAnsi" w:hAnsiTheme="minorHAnsi"/>
          <w:b/>
          <w:color w:val="9BBB59"/>
          <w:sz w:val="28"/>
          <w:szCs w:val="28"/>
        </w:rPr>
        <w:t xml:space="preserve"> meeting</w:t>
      </w:r>
      <w:r w:rsidRPr="00C802EF">
        <w:rPr>
          <w:rFonts w:asciiTheme="minorHAnsi" w:hAnsiTheme="minorHAnsi" w:cs="Calibri"/>
          <w:b/>
          <w:color w:val="9BBB59"/>
          <w:sz w:val="28"/>
          <w:szCs w:val="28"/>
          <w:lang w:val="en-US"/>
        </w:rPr>
        <w:t xml:space="preserve"> </w:t>
      </w:r>
    </w:p>
    <w:p w:rsidR="005E73A1" w:rsidRDefault="005E73A1" w:rsidP="005E73A1">
      <w:pPr>
        <w:pStyle w:val="Header"/>
        <w:tabs>
          <w:tab w:val="left" w:pos="3160"/>
        </w:tabs>
        <w:jc w:val="center"/>
        <w:rPr>
          <w:rFonts w:asciiTheme="minorHAnsi" w:hAnsiTheme="minorHAnsi" w:cs="Calibri"/>
          <w:b/>
          <w:color w:val="9BBB59"/>
          <w:sz w:val="28"/>
          <w:szCs w:val="28"/>
          <w:lang w:val="en-US"/>
        </w:rPr>
      </w:pPr>
      <w:r>
        <w:rPr>
          <w:rFonts w:asciiTheme="minorHAnsi" w:hAnsiTheme="minorHAnsi" w:cs="Calibri"/>
          <w:b/>
          <w:color w:val="9BBB59"/>
          <w:sz w:val="28"/>
          <w:szCs w:val="28"/>
          <w:lang w:val="en-US"/>
        </w:rPr>
        <w:t>21 November</w:t>
      </w:r>
      <w:r w:rsidRPr="00C802EF">
        <w:rPr>
          <w:rFonts w:asciiTheme="minorHAnsi" w:hAnsiTheme="minorHAnsi" w:cs="Calibri"/>
          <w:b/>
          <w:color w:val="9BBB59"/>
          <w:sz w:val="28"/>
          <w:szCs w:val="28"/>
          <w:lang w:val="en-US"/>
        </w:rPr>
        <w:t xml:space="preserve"> 2014</w:t>
      </w:r>
    </w:p>
    <w:p w:rsidR="005E73A1" w:rsidRPr="00C802EF" w:rsidRDefault="005E73A1" w:rsidP="005E73A1">
      <w:pPr>
        <w:pStyle w:val="Header"/>
        <w:tabs>
          <w:tab w:val="left" w:pos="3160"/>
        </w:tabs>
        <w:jc w:val="center"/>
        <w:rPr>
          <w:rFonts w:asciiTheme="minorHAnsi" w:hAnsiTheme="minorHAnsi" w:cs="Calibri"/>
          <w:b/>
          <w:color w:val="9BBB59"/>
          <w:sz w:val="28"/>
          <w:szCs w:val="28"/>
          <w:lang w:val="en-US"/>
        </w:rPr>
      </w:pPr>
      <w:r>
        <w:rPr>
          <w:rFonts w:asciiTheme="minorHAnsi" w:hAnsiTheme="minorHAnsi" w:cs="Calibri"/>
          <w:b/>
          <w:color w:val="9BBB59"/>
          <w:sz w:val="28"/>
          <w:szCs w:val="28"/>
          <w:lang w:val="en-US"/>
        </w:rPr>
        <w:t>DECISIONS - EXCERPTS</w:t>
      </w:r>
    </w:p>
    <w:p w:rsidR="0049051A" w:rsidRPr="00EF3849" w:rsidRDefault="0049051A" w:rsidP="0049051A">
      <w:pPr>
        <w:rPr>
          <w:rFonts w:ascii="Calibri Light" w:hAnsi="Calibri Light"/>
        </w:rPr>
      </w:pPr>
    </w:p>
    <w:tbl>
      <w:tblPr>
        <w:tblW w:w="9761" w:type="dxa"/>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1"/>
      </w:tblGrid>
      <w:tr w:rsidR="001F4FE6" w:rsidRPr="005E73A1" w:rsidTr="00E553C1">
        <w:trPr>
          <w:trHeight w:val="230"/>
          <w:jc w:val="center"/>
        </w:trPr>
        <w:tc>
          <w:tcPr>
            <w:tcW w:w="976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EF3849" w:rsidRPr="005E73A1" w:rsidRDefault="00EF3849" w:rsidP="005D5103">
            <w:pPr>
              <w:spacing w:after="0" w:line="240" w:lineRule="auto"/>
              <w:rPr>
                <w:rStyle w:val="EmailStyle151"/>
                <w:rFonts w:asciiTheme="minorHAnsi" w:hAnsiTheme="minorHAnsi"/>
                <w:b/>
              </w:rPr>
            </w:pPr>
            <w:r w:rsidRPr="005E73A1">
              <w:rPr>
                <w:rStyle w:val="EmailStyle151"/>
                <w:rFonts w:asciiTheme="minorHAnsi" w:hAnsiTheme="minorHAnsi"/>
                <w:b/>
              </w:rPr>
              <w:t>Governance:</w:t>
            </w:r>
          </w:p>
          <w:p w:rsidR="005D5103" w:rsidRPr="005E73A1" w:rsidRDefault="00EF3849" w:rsidP="005D5103">
            <w:pPr>
              <w:jc w:val="both"/>
              <w:rPr>
                <w:rStyle w:val="EmailStyle151"/>
                <w:rFonts w:asciiTheme="minorHAnsi" w:hAnsiTheme="minorHAnsi"/>
                <w:b/>
              </w:rPr>
            </w:pPr>
            <w:r w:rsidRPr="005E73A1">
              <w:rPr>
                <w:rStyle w:val="EmailStyle151"/>
                <w:rFonts w:asciiTheme="minorHAnsi" w:hAnsiTheme="minorHAnsi"/>
                <w:b/>
              </w:rPr>
              <w:t>(6) NPC and SR contracts for 2015</w:t>
            </w:r>
          </w:p>
          <w:p w:rsidR="005D5103" w:rsidRPr="005E73A1" w:rsidRDefault="005D5103" w:rsidP="005D5103">
            <w:pPr>
              <w:jc w:val="both"/>
              <w:rPr>
                <w:rStyle w:val="EmailStyle151"/>
                <w:rFonts w:asciiTheme="minorHAnsi" w:hAnsiTheme="minorHAnsi"/>
                <w:b/>
              </w:rPr>
            </w:pPr>
            <w:r w:rsidRPr="005E73A1">
              <w:rPr>
                <w:rStyle w:val="EmailStyle151"/>
                <w:rFonts w:asciiTheme="minorHAnsi" w:hAnsiTheme="minorHAnsi"/>
                <w:b/>
              </w:rPr>
              <w:t>National Platform Coordinators – Contract and process for 2015</w:t>
            </w:r>
          </w:p>
          <w:p w:rsidR="005D5103" w:rsidRPr="005E73A1" w:rsidRDefault="005D5103" w:rsidP="005E73A1">
            <w:pPr>
              <w:pStyle w:val="ListParagraph"/>
              <w:numPr>
                <w:ilvl w:val="0"/>
                <w:numId w:val="12"/>
              </w:numPr>
              <w:spacing w:after="0" w:line="240" w:lineRule="auto"/>
              <w:jc w:val="both"/>
            </w:pPr>
            <w:r w:rsidRPr="005E73A1">
              <w:t>ENAR Secretariat will set out specific national calls for application at the beginning of the year, taking into account national needs and specificities</w:t>
            </w:r>
          </w:p>
          <w:p w:rsidR="005D5103" w:rsidRPr="005E73A1" w:rsidRDefault="005D5103" w:rsidP="005E73A1">
            <w:pPr>
              <w:pStyle w:val="ListParagraph"/>
              <w:numPr>
                <w:ilvl w:val="0"/>
                <w:numId w:val="12"/>
              </w:numPr>
              <w:spacing w:after="0" w:line="240" w:lineRule="auto"/>
              <w:jc w:val="both"/>
            </w:pPr>
            <w:r w:rsidRPr="005E73A1">
              <w:t>Members interested will have to submit an action plan relevant to the priorities of the call</w:t>
            </w:r>
          </w:p>
          <w:p w:rsidR="005D5103" w:rsidRPr="005E73A1" w:rsidRDefault="005D5103" w:rsidP="005E73A1">
            <w:pPr>
              <w:pStyle w:val="ListParagraph"/>
              <w:numPr>
                <w:ilvl w:val="0"/>
                <w:numId w:val="12"/>
              </w:numPr>
              <w:spacing w:after="0" w:line="240" w:lineRule="auto"/>
              <w:jc w:val="both"/>
            </w:pPr>
            <w:r w:rsidRPr="005E73A1">
              <w:t>Applications will be assessed on the basis of the quality and relevance of the call with the objectives of ENAR. Raising the visibility of ENAR at the national level as well as raising the capacities/engagement of ENAR members will be among the key performance indicators</w:t>
            </w:r>
          </w:p>
          <w:p w:rsidR="005D5103" w:rsidRPr="005E73A1" w:rsidRDefault="005D5103" w:rsidP="005E73A1">
            <w:pPr>
              <w:pStyle w:val="ListParagraph"/>
              <w:numPr>
                <w:ilvl w:val="0"/>
                <w:numId w:val="12"/>
              </w:numPr>
              <w:spacing w:after="0" w:line="240" w:lineRule="auto"/>
              <w:jc w:val="both"/>
            </w:pPr>
            <w:r w:rsidRPr="005E73A1">
              <w:t>Deadline for application mid-February.</w:t>
            </w:r>
          </w:p>
          <w:p w:rsidR="005D5103" w:rsidRPr="005E73A1" w:rsidRDefault="005D5103" w:rsidP="005E73A1">
            <w:pPr>
              <w:pStyle w:val="ListParagraph"/>
              <w:numPr>
                <w:ilvl w:val="0"/>
                <w:numId w:val="12"/>
              </w:numPr>
              <w:spacing w:after="0" w:line="240" w:lineRule="auto"/>
              <w:jc w:val="both"/>
            </w:pPr>
            <w:r w:rsidRPr="005E73A1">
              <w:t>If there is no response from members of a specific country, after 6 months, the dedicated amount can be transferred towards another country</w:t>
            </w:r>
          </w:p>
          <w:p w:rsidR="005D5103" w:rsidRDefault="005D5103" w:rsidP="005E73A1">
            <w:pPr>
              <w:pStyle w:val="ListParagraph"/>
              <w:numPr>
                <w:ilvl w:val="0"/>
                <w:numId w:val="12"/>
              </w:numPr>
              <w:spacing w:after="0" w:line="240" w:lineRule="auto"/>
              <w:jc w:val="both"/>
            </w:pPr>
            <w:r w:rsidRPr="005E73A1">
              <w:t>The status of NPC will be discussed later. In any case, contracts for activities at national level are disconnected from the NPCs (Current NPCs are of course free to apply)</w:t>
            </w:r>
          </w:p>
          <w:p w:rsidR="005E73A1" w:rsidRPr="005E73A1" w:rsidRDefault="005E73A1" w:rsidP="005E73A1">
            <w:pPr>
              <w:pStyle w:val="ListParagraph"/>
              <w:spacing w:after="0" w:line="240" w:lineRule="auto"/>
              <w:ind w:left="360"/>
              <w:jc w:val="both"/>
              <w:rPr>
                <w:sz w:val="24"/>
                <w:szCs w:val="24"/>
              </w:rPr>
            </w:pPr>
          </w:p>
          <w:p w:rsidR="005D5103" w:rsidRPr="005E73A1" w:rsidRDefault="005D5103" w:rsidP="005E73A1">
            <w:pPr>
              <w:spacing w:after="0" w:line="240" w:lineRule="auto"/>
              <w:jc w:val="both"/>
              <w:rPr>
                <w:b/>
                <w:sz w:val="24"/>
                <w:szCs w:val="24"/>
              </w:rPr>
            </w:pPr>
            <w:r w:rsidRPr="005E73A1">
              <w:rPr>
                <w:b/>
                <w:sz w:val="24"/>
                <w:szCs w:val="24"/>
              </w:rPr>
              <w:t>Shadow Report – Contract and processes for 2015</w:t>
            </w:r>
          </w:p>
          <w:p w:rsidR="005E73A1" w:rsidRPr="005E73A1" w:rsidRDefault="005E73A1" w:rsidP="005E73A1">
            <w:pPr>
              <w:spacing w:after="0" w:line="240" w:lineRule="auto"/>
              <w:jc w:val="both"/>
              <w:rPr>
                <w:b/>
              </w:rPr>
            </w:pPr>
          </w:p>
          <w:p w:rsidR="005D5103" w:rsidRDefault="005D5103" w:rsidP="005E73A1">
            <w:pPr>
              <w:spacing w:after="0" w:line="240" w:lineRule="auto"/>
              <w:jc w:val="both"/>
            </w:pPr>
            <w:r w:rsidRPr="005E73A1">
              <w:t>The Board has also decided to disconnect the Shadow Report contracts from the role of NPC. It’s the case already in many countries. But of course, curr</w:t>
            </w:r>
            <w:bookmarkStart w:id="0" w:name="_GoBack"/>
            <w:bookmarkEnd w:id="0"/>
            <w:r w:rsidRPr="005E73A1">
              <w:t>ent NPCs are welcome to apply if they have the required expertise to deal with the subject matter of the upcoming Shadow Report. Current NPCs can apply for both the SR and activity contracts under the new schemes. Relevance of both applications will only be taken into consideration.</w:t>
            </w:r>
          </w:p>
          <w:p w:rsidR="005E73A1" w:rsidRPr="005E73A1" w:rsidRDefault="005E73A1" w:rsidP="005E73A1">
            <w:pPr>
              <w:spacing w:after="0" w:line="240" w:lineRule="auto"/>
              <w:jc w:val="both"/>
            </w:pPr>
          </w:p>
          <w:p w:rsidR="001F4FE6" w:rsidRPr="005E73A1" w:rsidRDefault="005D5103" w:rsidP="005E73A1">
            <w:pPr>
              <w:pStyle w:val="ListParagraph"/>
              <w:numPr>
                <w:ilvl w:val="0"/>
                <w:numId w:val="13"/>
              </w:numPr>
              <w:spacing w:after="0" w:line="240" w:lineRule="auto"/>
              <w:jc w:val="both"/>
              <w:rPr>
                <w:rStyle w:val="EmailStyle151"/>
                <w:rFonts w:asciiTheme="minorHAnsi" w:hAnsiTheme="minorHAnsi"/>
              </w:rPr>
            </w:pPr>
            <w:r w:rsidRPr="005E73A1">
              <w:t>The Shadow Report contracts are also disconnected from the NPC status (current NPCs are also free to apply). The call will be directed towards the members first. If no member answers in a specific country, authors outside of the Network will be sought for.</w:t>
            </w:r>
          </w:p>
        </w:tc>
      </w:tr>
    </w:tbl>
    <w:p w:rsidR="0005321B" w:rsidRPr="005E73A1" w:rsidRDefault="005E73A1" w:rsidP="005D5103"/>
    <w:sectPr w:rsidR="0005321B" w:rsidRPr="005E7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B12"/>
    <w:multiLevelType w:val="hybridMultilevel"/>
    <w:tmpl w:val="7130B44A"/>
    <w:lvl w:ilvl="0" w:tplc="080C0001">
      <w:start w:val="1"/>
      <w:numFmt w:val="bullet"/>
      <w:lvlText w:val=""/>
      <w:lvlJc w:val="left"/>
      <w:pPr>
        <w:ind w:left="720" w:hanging="360"/>
      </w:pPr>
      <w:rPr>
        <w:rFonts w:ascii="Symbol" w:hAnsi="Symbol" w:hint="default"/>
      </w:rPr>
    </w:lvl>
    <w:lvl w:ilvl="1" w:tplc="004CA994">
      <w:numFmt w:val="bullet"/>
      <w:lvlText w:val="-"/>
      <w:lvlJc w:val="left"/>
      <w:pPr>
        <w:ind w:left="1440" w:hanging="360"/>
      </w:pPr>
      <w:rPr>
        <w:rFonts w:ascii="Calibri" w:eastAsiaTheme="minorHAnsi" w:hAnsi="Calibri"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BE4EE4"/>
    <w:multiLevelType w:val="multilevel"/>
    <w:tmpl w:val="E06C11F0"/>
    <w:lvl w:ilvl="0">
      <w:start w:val="1"/>
      <w:numFmt w:val="bullet"/>
      <w:lvlText w:val="-"/>
      <w:lvlJc w:val="left"/>
      <w:pPr>
        <w:ind w:left="360" w:hanging="360"/>
      </w:pPr>
      <w:rPr>
        <w:rFonts w:ascii="Calibri" w:eastAsiaTheme="minorHAnsi" w:hAnsi="Calibri" w:cstheme="minorBidi"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042B4E"/>
    <w:multiLevelType w:val="hybridMultilevel"/>
    <w:tmpl w:val="355C80AE"/>
    <w:lvl w:ilvl="0" w:tplc="D97264BA">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2317705D"/>
    <w:multiLevelType w:val="hybridMultilevel"/>
    <w:tmpl w:val="FA22941E"/>
    <w:lvl w:ilvl="0" w:tplc="D97264BA">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36580366"/>
    <w:multiLevelType w:val="hybridMultilevel"/>
    <w:tmpl w:val="C2FE277A"/>
    <w:lvl w:ilvl="0" w:tplc="876A6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9D1D7E"/>
    <w:multiLevelType w:val="multilevel"/>
    <w:tmpl w:val="6214F4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97366B"/>
    <w:multiLevelType w:val="multilevel"/>
    <w:tmpl w:val="A62C94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BB63AB"/>
    <w:multiLevelType w:val="hybridMultilevel"/>
    <w:tmpl w:val="B5FAC4CA"/>
    <w:lvl w:ilvl="0" w:tplc="D97264B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D3044B9"/>
    <w:multiLevelType w:val="hybridMultilevel"/>
    <w:tmpl w:val="A5EAA79E"/>
    <w:lvl w:ilvl="0" w:tplc="D9A656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43B48"/>
    <w:multiLevelType w:val="multilevel"/>
    <w:tmpl w:val="E58E2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712476"/>
    <w:multiLevelType w:val="hybridMultilevel"/>
    <w:tmpl w:val="F962B1DA"/>
    <w:lvl w:ilvl="0" w:tplc="D480EE4E">
      <w:start w:val="21"/>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2A0066"/>
    <w:multiLevelType w:val="hybridMultilevel"/>
    <w:tmpl w:val="966C30B6"/>
    <w:lvl w:ilvl="0" w:tplc="2D30F2D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91992"/>
    <w:multiLevelType w:val="hybridMultilevel"/>
    <w:tmpl w:val="4AFC39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1"/>
  </w:num>
  <w:num w:numId="5">
    <w:abstractNumId w:val="6"/>
  </w:num>
  <w:num w:numId="6">
    <w:abstractNumId w:val="9"/>
  </w:num>
  <w:num w:numId="7">
    <w:abstractNumId w:val="5"/>
  </w:num>
  <w:num w:numId="8">
    <w:abstractNumId w:val="10"/>
  </w:num>
  <w:num w:numId="9">
    <w:abstractNumId w:val="0"/>
  </w:num>
  <w:num w:numId="10">
    <w:abstractNumId w:val="12"/>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1A"/>
    <w:rsid w:val="001F4FE6"/>
    <w:rsid w:val="003E3657"/>
    <w:rsid w:val="0049051A"/>
    <w:rsid w:val="005D5103"/>
    <w:rsid w:val="005E73A1"/>
    <w:rsid w:val="00C625F8"/>
    <w:rsid w:val="00EF3849"/>
    <w:rsid w:val="00F0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73A1"/>
    <w:pPr>
      <w:keepNext/>
      <w:spacing w:after="0" w:line="240" w:lineRule="auto"/>
      <w:jc w:val="center"/>
      <w:outlineLvl w:val="0"/>
    </w:pPr>
    <w:rPr>
      <w:rFonts w:ascii="Times New Roman" w:eastAsia="Times New Roman" w:hAnsi="Times New Roman" w:cs="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rsid w:val="001F4FE6"/>
    <w:rPr>
      <w:rFonts w:ascii="Times New Roman" w:hAnsi="Times New Roman" w:cs="Arial" w:hint="default"/>
      <w:b w:val="0"/>
      <w:bCs w:val="0"/>
      <w:i w:val="0"/>
      <w:iCs w:val="0"/>
      <w:color w:val="000000"/>
      <w:sz w:val="24"/>
    </w:rPr>
  </w:style>
  <w:style w:type="paragraph" w:styleId="ListParagraph">
    <w:name w:val="List Paragraph"/>
    <w:basedOn w:val="Normal"/>
    <w:uiPriority w:val="34"/>
    <w:qFormat/>
    <w:rsid w:val="001F4FE6"/>
    <w:pPr>
      <w:ind w:left="720"/>
      <w:contextualSpacing/>
    </w:pPr>
  </w:style>
  <w:style w:type="character" w:customStyle="1" w:styleId="Heading1Char">
    <w:name w:val="Heading 1 Char"/>
    <w:basedOn w:val="DefaultParagraphFont"/>
    <w:link w:val="Heading1"/>
    <w:rsid w:val="005E73A1"/>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5E73A1"/>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5E73A1"/>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73A1"/>
    <w:pPr>
      <w:keepNext/>
      <w:spacing w:after="0" w:line="240" w:lineRule="auto"/>
      <w:jc w:val="center"/>
      <w:outlineLvl w:val="0"/>
    </w:pPr>
    <w:rPr>
      <w:rFonts w:ascii="Times New Roman" w:eastAsia="Times New Roman" w:hAnsi="Times New Roman" w:cs="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rsid w:val="001F4FE6"/>
    <w:rPr>
      <w:rFonts w:ascii="Times New Roman" w:hAnsi="Times New Roman" w:cs="Arial" w:hint="default"/>
      <w:b w:val="0"/>
      <w:bCs w:val="0"/>
      <w:i w:val="0"/>
      <w:iCs w:val="0"/>
      <w:color w:val="000000"/>
      <w:sz w:val="24"/>
    </w:rPr>
  </w:style>
  <w:style w:type="paragraph" w:styleId="ListParagraph">
    <w:name w:val="List Paragraph"/>
    <w:basedOn w:val="Normal"/>
    <w:uiPriority w:val="34"/>
    <w:qFormat/>
    <w:rsid w:val="001F4FE6"/>
    <w:pPr>
      <w:ind w:left="720"/>
      <w:contextualSpacing/>
    </w:pPr>
  </w:style>
  <w:style w:type="character" w:customStyle="1" w:styleId="Heading1Char">
    <w:name w:val="Heading 1 Char"/>
    <w:basedOn w:val="DefaultParagraphFont"/>
    <w:link w:val="Heading1"/>
    <w:rsid w:val="005E73A1"/>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5E73A1"/>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5E73A1"/>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274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Wahlgren</dc:creator>
  <cp:lastModifiedBy>Georgina Siklossy</cp:lastModifiedBy>
  <cp:revision>2</cp:revision>
  <dcterms:created xsi:type="dcterms:W3CDTF">2015-01-13T11:21:00Z</dcterms:created>
  <dcterms:modified xsi:type="dcterms:W3CDTF">2015-01-13T13:12:00Z</dcterms:modified>
</cp:coreProperties>
</file>